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F9" w:rsidRPr="002C5E9D" w:rsidRDefault="00741573" w:rsidP="0074157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</w:rPr>
        <w:tab/>
      </w:r>
      <w:r w:rsidRPr="002C5E9D">
        <w:rPr>
          <w:rFonts w:ascii="Arial" w:hAnsi="Arial" w:cs="Arial"/>
          <w:b/>
          <w:sz w:val="20"/>
          <w:szCs w:val="20"/>
          <w:u w:val="single"/>
        </w:rPr>
        <w:t xml:space="preserve">Gloucestershire </w:t>
      </w:r>
      <w:r w:rsidR="00D848F9" w:rsidRPr="002C5E9D">
        <w:rPr>
          <w:rFonts w:ascii="Arial" w:hAnsi="Arial" w:cs="Arial"/>
          <w:b/>
          <w:sz w:val="20"/>
          <w:szCs w:val="20"/>
          <w:u w:val="single"/>
        </w:rPr>
        <w:t xml:space="preserve">NHS Hospitals Foundation Trust </w:t>
      </w:r>
    </w:p>
    <w:p w:rsidR="00D174CB" w:rsidRDefault="00D848F9" w:rsidP="005F48D3">
      <w:pPr>
        <w:ind w:firstLine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 xml:space="preserve"> Nurse R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>etention</w:t>
      </w:r>
      <w:r w:rsidR="00F328F9" w:rsidRPr="002C5E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F48D3" w:rsidRPr="002C5E9D">
        <w:rPr>
          <w:rFonts w:ascii="Arial" w:hAnsi="Arial" w:cs="Arial"/>
          <w:b/>
          <w:sz w:val="20"/>
          <w:szCs w:val="20"/>
          <w:u w:val="single"/>
        </w:rPr>
        <w:t>(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>pulse</w:t>
      </w:r>
      <w:r w:rsidR="005F48D3" w:rsidRPr="002C5E9D">
        <w:rPr>
          <w:rFonts w:ascii="Arial" w:hAnsi="Arial" w:cs="Arial"/>
          <w:b/>
          <w:sz w:val="20"/>
          <w:szCs w:val="20"/>
          <w:u w:val="single"/>
        </w:rPr>
        <w:t>)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174CB">
        <w:rPr>
          <w:rFonts w:ascii="Arial" w:hAnsi="Arial" w:cs="Arial"/>
          <w:b/>
          <w:sz w:val="20"/>
          <w:szCs w:val="20"/>
          <w:u w:val="single"/>
        </w:rPr>
        <w:t>S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 xml:space="preserve">urvey </w:t>
      </w:r>
    </w:p>
    <w:p w:rsidR="00741573" w:rsidRPr="00D174CB" w:rsidRDefault="005F48D3" w:rsidP="00D174CB">
      <w:pPr>
        <w:ind w:firstLine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 xml:space="preserve">November 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>2019</w:t>
      </w:r>
      <w:r w:rsidR="00F62975" w:rsidRPr="002C5E9D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="001D3137" w:rsidRPr="002C5E9D">
        <w:rPr>
          <w:rFonts w:ascii="Arial" w:hAnsi="Arial" w:cs="Arial"/>
          <w:b/>
          <w:sz w:val="20"/>
          <w:szCs w:val="20"/>
        </w:rPr>
        <w:t xml:space="preserve">        </w:t>
      </w:r>
    </w:p>
    <w:p w:rsidR="005F48D3" w:rsidRPr="002C5E9D" w:rsidRDefault="00D848F9" w:rsidP="00741573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NHSI </w:t>
      </w:r>
      <w:r w:rsidR="00074851" w:rsidRPr="002C5E9D">
        <w:rPr>
          <w:rFonts w:ascii="Arial" w:hAnsi="Arial" w:cs="Arial"/>
          <w:sz w:val="20"/>
          <w:szCs w:val="20"/>
        </w:rPr>
        <w:t>have developed a national programme for improvi</w:t>
      </w:r>
      <w:r w:rsidR="00E013CD" w:rsidRPr="002C5E9D">
        <w:rPr>
          <w:rFonts w:ascii="Arial" w:hAnsi="Arial" w:cs="Arial"/>
          <w:sz w:val="20"/>
          <w:szCs w:val="20"/>
        </w:rPr>
        <w:t xml:space="preserve">ng </w:t>
      </w:r>
      <w:r w:rsidR="00172780" w:rsidRPr="002C5E9D">
        <w:rPr>
          <w:rFonts w:ascii="Arial" w:hAnsi="Arial" w:cs="Arial"/>
          <w:sz w:val="20"/>
          <w:szCs w:val="20"/>
        </w:rPr>
        <w:t xml:space="preserve">nurse </w:t>
      </w:r>
      <w:r w:rsidR="00E013CD" w:rsidRPr="002C5E9D">
        <w:rPr>
          <w:rFonts w:ascii="Arial" w:hAnsi="Arial" w:cs="Arial"/>
          <w:sz w:val="20"/>
          <w:szCs w:val="20"/>
        </w:rPr>
        <w:t>retention across the NHS. This</w:t>
      </w:r>
      <w:r w:rsidR="00074851" w:rsidRPr="002C5E9D">
        <w:rPr>
          <w:rFonts w:ascii="Arial" w:hAnsi="Arial" w:cs="Arial"/>
          <w:sz w:val="20"/>
          <w:szCs w:val="20"/>
        </w:rPr>
        <w:t xml:space="preserve"> programme</w:t>
      </w:r>
      <w:r w:rsidRPr="002C5E9D">
        <w:rPr>
          <w:rFonts w:ascii="Arial" w:hAnsi="Arial" w:cs="Arial"/>
          <w:sz w:val="20"/>
          <w:szCs w:val="20"/>
        </w:rPr>
        <w:t xml:space="preserve"> is set to run into 2020 and Gloucestershire Hospitals NHS Foundation Trust</w:t>
      </w:r>
      <w:r w:rsidR="00074851" w:rsidRPr="002C5E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4851" w:rsidRPr="002C5E9D">
        <w:rPr>
          <w:rFonts w:ascii="Arial" w:hAnsi="Arial" w:cs="Arial"/>
          <w:sz w:val="20"/>
          <w:szCs w:val="20"/>
        </w:rPr>
        <w:t>are</w:t>
      </w:r>
      <w:proofErr w:type="gramEnd"/>
      <w:r w:rsidR="00074851" w:rsidRPr="002C5E9D">
        <w:rPr>
          <w:rFonts w:ascii="Arial" w:hAnsi="Arial" w:cs="Arial"/>
          <w:sz w:val="20"/>
          <w:szCs w:val="20"/>
        </w:rPr>
        <w:t xml:space="preserve"> participat</w:t>
      </w:r>
      <w:r w:rsidR="00E013CD" w:rsidRPr="002C5E9D">
        <w:rPr>
          <w:rFonts w:ascii="Arial" w:hAnsi="Arial" w:cs="Arial"/>
          <w:sz w:val="20"/>
          <w:szCs w:val="20"/>
        </w:rPr>
        <w:t xml:space="preserve">ing as part of </w:t>
      </w:r>
      <w:r w:rsidR="001129FC" w:rsidRPr="002C5E9D">
        <w:rPr>
          <w:rFonts w:ascii="Arial" w:hAnsi="Arial" w:cs="Arial"/>
          <w:sz w:val="20"/>
          <w:szCs w:val="20"/>
        </w:rPr>
        <w:t>cohort 5</w:t>
      </w:r>
      <w:r w:rsidR="007D6980" w:rsidRPr="002C5E9D">
        <w:rPr>
          <w:rFonts w:ascii="Arial" w:hAnsi="Arial" w:cs="Arial"/>
          <w:sz w:val="20"/>
          <w:szCs w:val="20"/>
        </w:rPr>
        <w:t xml:space="preserve">. </w:t>
      </w:r>
      <w:r w:rsidR="00172780" w:rsidRPr="002C5E9D">
        <w:rPr>
          <w:rFonts w:ascii="Arial" w:hAnsi="Arial" w:cs="Arial"/>
          <w:sz w:val="20"/>
          <w:szCs w:val="20"/>
        </w:rPr>
        <w:t>Having joined the programme in September 2019 the expectation was that each participating Trust would submit a retention action plan by the end of November 2019.</w:t>
      </w:r>
    </w:p>
    <w:p w:rsidR="00741573" w:rsidRPr="002C5E9D" w:rsidRDefault="005F48D3" w:rsidP="00172780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To help inform and </w:t>
      </w:r>
      <w:r w:rsidR="00172780" w:rsidRPr="002C5E9D">
        <w:rPr>
          <w:rFonts w:ascii="Arial" w:hAnsi="Arial" w:cs="Arial"/>
          <w:sz w:val="20"/>
          <w:szCs w:val="20"/>
        </w:rPr>
        <w:t>develop</w:t>
      </w:r>
      <w:r w:rsidRPr="002C5E9D">
        <w:rPr>
          <w:rFonts w:ascii="Arial" w:hAnsi="Arial" w:cs="Arial"/>
          <w:sz w:val="20"/>
          <w:szCs w:val="20"/>
        </w:rPr>
        <w:t xml:space="preserve"> </w:t>
      </w:r>
      <w:r w:rsidR="00172780" w:rsidRPr="002C5E9D">
        <w:rPr>
          <w:rFonts w:ascii="Arial" w:hAnsi="Arial" w:cs="Arial"/>
          <w:sz w:val="20"/>
          <w:szCs w:val="20"/>
        </w:rPr>
        <w:t>our</w:t>
      </w:r>
      <w:r w:rsidRPr="002C5E9D">
        <w:rPr>
          <w:rFonts w:ascii="Arial" w:hAnsi="Arial" w:cs="Arial"/>
          <w:sz w:val="20"/>
          <w:szCs w:val="20"/>
        </w:rPr>
        <w:t xml:space="preserve"> </w:t>
      </w:r>
      <w:r w:rsidR="00172780" w:rsidRPr="002C5E9D">
        <w:rPr>
          <w:rFonts w:ascii="Arial" w:hAnsi="Arial" w:cs="Arial"/>
          <w:sz w:val="20"/>
          <w:szCs w:val="20"/>
        </w:rPr>
        <w:t>action plan</w:t>
      </w:r>
      <w:r w:rsidRPr="002C5E9D">
        <w:rPr>
          <w:rFonts w:ascii="Arial" w:hAnsi="Arial" w:cs="Arial"/>
          <w:sz w:val="20"/>
          <w:szCs w:val="20"/>
        </w:rPr>
        <w:t xml:space="preserve"> a nurse retention survey was conducted </w:t>
      </w:r>
      <w:r w:rsidR="00172780" w:rsidRPr="002C5E9D">
        <w:rPr>
          <w:rFonts w:ascii="Arial" w:hAnsi="Arial" w:cs="Arial"/>
          <w:sz w:val="20"/>
          <w:szCs w:val="20"/>
        </w:rPr>
        <w:t>at GHFT from 4</w:t>
      </w:r>
      <w:r w:rsidR="00172780" w:rsidRPr="002C5E9D">
        <w:rPr>
          <w:rFonts w:ascii="Arial" w:hAnsi="Arial" w:cs="Arial"/>
          <w:sz w:val="20"/>
          <w:szCs w:val="20"/>
          <w:vertAlign w:val="superscript"/>
        </w:rPr>
        <w:t>th</w:t>
      </w:r>
      <w:r w:rsidR="00172780" w:rsidRPr="002C5E9D">
        <w:rPr>
          <w:rFonts w:ascii="Arial" w:hAnsi="Arial" w:cs="Arial"/>
          <w:sz w:val="20"/>
          <w:szCs w:val="20"/>
        </w:rPr>
        <w:t xml:space="preserve"> – 19</w:t>
      </w:r>
      <w:r w:rsidR="00172780" w:rsidRPr="002C5E9D">
        <w:rPr>
          <w:rFonts w:ascii="Arial" w:hAnsi="Arial" w:cs="Arial"/>
          <w:sz w:val="20"/>
          <w:szCs w:val="20"/>
          <w:vertAlign w:val="superscript"/>
        </w:rPr>
        <w:t>th</w:t>
      </w:r>
      <w:r w:rsidR="002C5E9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E9D" w:rsidRPr="002C5E9D">
        <w:rPr>
          <w:rFonts w:ascii="Arial" w:hAnsi="Arial" w:cs="Arial"/>
          <w:sz w:val="20"/>
          <w:szCs w:val="20"/>
        </w:rPr>
        <w:t>November</w:t>
      </w:r>
      <w:r w:rsidR="00172780" w:rsidRPr="002C5E9D">
        <w:rPr>
          <w:rFonts w:ascii="Arial" w:hAnsi="Arial" w:cs="Arial"/>
          <w:sz w:val="20"/>
          <w:szCs w:val="20"/>
        </w:rPr>
        <w:t xml:space="preserve">. </w:t>
      </w:r>
      <w:r w:rsidR="00741573" w:rsidRPr="002C5E9D">
        <w:rPr>
          <w:rFonts w:ascii="Arial" w:hAnsi="Arial" w:cs="Arial"/>
          <w:sz w:val="20"/>
          <w:szCs w:val="20"/>
        </w:rPr>
        <w:t>In total, 462 nurses (23%) responded (36% paper, 64% online). A series of demographic questions were</w:t>
      </w:r>
      <w:r w:rsidR="00172780" w:rsidRPr="002C5E9D">
        <w:rPr>
          <w:rFonts w:ascii="Arial" w:hAnsi="Arial" w:cs="Arial"/>
          <w:sz w:val="20"/>
          <w:szCs w:val="20"/>
        </w:rPr>
        <w:t xml:space="preserve"> asked followed by key questions that included</w:t>
      </w:r>
      <w:r w:rsidR="00741573" w:rsidRPr="002C5E9D">
        <w:rPr>
          <w:rFonts w:ascii="Arial" w:hAnsi="Arial" w:cs="Arial"/>
          <w:sz w:val="20"/>
          <w:szCs w:val="20"/>
        </w:rPr>
        <w:t>:</w:t>
      </w:r>
    </w:p>
    <w:p w:rsidR="00172780" w:rsidRPr="002C5E9D" w:rsidRDefault="00172780" w:rsidP="0017278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What makes </w:t>
      </w:r>
      <w:r w:rsidR="00741573" w:rsidRPr="002C5E9D">
        <w:rPr>
          <w:rFonts w:ascii="Arial" w:hAnsi="Arial" w:cs="Arial"/>
          <w:sz w:val="20"/>
          <w:szCs w:val="20"/>
        </w:rPr>
        <w:t>you</w:t>
      </w:r>
      <w:r w:rsidRPr="002C5E9D">
        <w:rPr>
          <w:rFonts w:ascii="Arial" w:hAnsi="Arial" w:cs="Arial"/>
          <w:sz w:val="20"/>
          <w:szCs w:val="20"/>
        </w:rPr>
        <w:t xml:space="preserve"> to stay here? </w:t>
      </w:r>
    </w:p>
    <w:p w:rsidR="00741573" w:rsidRPr="002C5E9D" w:rsidRDefault="00741573" w:rsidP="001D31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When did you last think </w:t>
      </w:r>
      <w:r w:rsidR="00172780" w:rsidRPr="002C5E9D">
        <w:rPr>
          <w:rFonts w:ascii="Arial" w:hAnsi="Arial" w:cs="Arial"/>
          <w:sz w:val="20"/>
          <w:szCs w:val="20"/>
        </w:rPr>
        <w:t xml:space="preserve">about leaving? </w:t>
      </w:r>
    </w:p>
    <w:p w:rsidR="00741573" w:rsidRPr="002C5E9D" w:rsidRDefault="001D3137" w:rsidP="0074157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What would you like to see improved? </w:t>
      </w:r>
    </w:p>
    <w:p w:rsidR="001D3137" w:rsidRPr="002C5E9D" w:rsidRDefault="001D3137" w:rsidP="001D3137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Questions were also set regarding our new 2020 Health and Well-being Hub and the Freedom </w:t>
      </w:r>
      <w:proofErr w:type="gramStart"/>
      <w:r w:rsidRPr="002C5E9D">
        <w:rPr>
          <w:rFonts w:ascii="Arial" w:hAnsi="Arial" w:cs="Arial"/>
          <w:sz w:val="20"/>
          <w:szCs w:val="20"/>
        </w:rPr>
        <w:t>To</w:t>
      </w:r>
      <w:proofErr w:type="gramEnd"/>
      <w:r w:rsidRPr="002C5E9D">
        <w:rPr>
          <w:rFonts w:ascii="Arial" w:hAnsi="Arial" w:cs="Arial"/>
          <w:sz w:val="20"/>
          <w:szCs w:val="20"/>
        </w:rPr>
        <w:t xml:space="preserve"> Speak up Guardian</w:t>
      </w:r>
    </w:p>
    <w:p w:rsidR="00C669FA" w:rsidRPr="002C5E9D" w:rsidRDefault="00C669FA" w:rsidP="00074851">
      <w:pPr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>K</w:t>
      </w:r>
      <w:r w:rsidR="003A0D5E" w:rsidRPr="002C5E9D">
        <w:rPr>
          <w:rFonts w:ascii="Arial" w:hAnsi="Arial" w:cs="Arial"/>
          <w:b/>
          <w:sz w:val="20"/>
          <w:szCs w:val="20"/>
          <w:u w:val="single"/>
        </w:rPr>
        <w:t>ey findings</w:t>
      </w:r>
    </w:p>
    <w:p w:rsidR="00B106FC" w:rsidRPr="002C5E9D" w:rsidRDefault="005A15BF" w:rsidP="000748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 </w:t>
      </w:r>
      <w:r w:rsidR="00B106FC" w:rsidRPr="002C5E9D">
        <w:rPr>
          <w:rFonts w:ascii="Arial" w:hAnsi="Arial" w:cs="Arial"/>
          <w:sz w:val="20"/>
          <w:szCs w:val="20"/>
        </w:rPr>
        <w:t xml:space="preserve">key findings have been identified from the survey. </w:t>
      </w:r>
    </w:p>
    <w:p w:rsidR="00741573" w:rsidRPr="002C5E9D" w:rsidRDefault="00741573" w:rsidP="0074157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Respondents rated colleagues, geographic location and family as the top 3 reasons to stay with our Trust. </w:t>
      </w:r>
    </w:p>
    <w:p w:rsidR="00741573" w:rsidRPr="002C5E9D" w:rsidRDefault="00741573" w:rsidP="00741573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73% (327) of respondents replied they had thought about leaving our Trust versus 18% who had never thought about leaving. </w:t>
      </w:r>
    </w:p>
    <w:p w:rsidR="00741573" w:rsidRPr="002C5E9D" w:rsidRDefault="00741573" w:rsidP="0074157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66% (264) of respondents said they had thought about leaving within the last 12 months.</w:t>
      </w:r>
    </w:p>
    <w:p w:rsidR="00741573" w:rsidRPr="002C5E9D" w:rsidRDefault="00741573" w:rsidP="0074157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Respondents state the following as reasons </w:t>
      </w:r>
      <w:r w:rsidR="005E543E" w:rsidRPr="002C5E9D">
        <w:rPr>
          <w:rFonts w:ascii="Arial" w:hAnsi="Arial" w:cs="Arial"/>
          <w:sz w:val="20"/>
          <w:szCs w:val="20"/>
        </w:rPr>
        <w:t>to</w:t>
      </w:r>
      <w:r w:rsidRPr="002C5E9D">
        <w:rPr>
          <w:rFonts w:ascii="Arial" w:hAnsi="Arial" w:cs="Arial"/>
          <w:sz w:val="20"/>
          <w:szCs w:val="20"/>
        </w:rPr>
        <w:t xml:space="preserve"> leave: work pressure, staffing levels, burnout, and work life balance. </w:t>
      </w:r>
    </w:p>
    <w:p w:rsidR="00741573" w:rsidRPr="002C5E9D" w:rsidRDefault="00741573" w:rsidP="0074157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25% of respondents said they would leave for reasons of bullying and harassment</w:t>
      </w:r>
    </w:p>
    <w:p w:rsidR="00061C2F" w:rsidRDefault="00BC425F" w:rsidP="00BC425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Band 6 respondents were t</w:t>
      </w:r>
      <w:r w:rsidR="002C5E9D">
        <w:rPr>
          <w:rFonts w:ascii="Arial" w:hAnsi="Arial" w:cs="Arial"/>
          <w:sz w:val="20"/>
          <w:szCs w:val="20"/>
        </w:rPr>
        <w:t xml:space="preserve">he most inclined to leave (23%). </w:t>
      </w:r>
    </w:p>
    <w:p w:rsidR="00BC425F" w:rsidRDefault="00BC425F" w:rsidP="00BC425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Compared to respondents in other banding groups, band 6’s were the most likely to leave due to poor staff engagement and communications (35%). </w:t>
      </w:r>
    </w:p>
    <w:p w:rsidR="002C5E9D" w:rsidRPr="002C5E9D" w:rsidRDefault="002C5E9D" w:rsidP="002C5E9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Respondents want to see improvements in staff benefits, career opportunities and development pathways, flexible working, and staff engagement.  </w:t>
      </w:r>
    </w:p>
    <w:p w:rsidR="00741573" w:rsidRPr="002C5E9D" w:rsidRDefault="005A15BF" w:rsidP="0074157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similar response rate was</w:t>
      </w:r>
      <w:r w:rsidR="00741573" w:rsidRPr="002C5E9D">
        <w:rPr>
          <w:rFonts w:ascii="Arial" w:hAnsi="Arial" w:cs="Arial"/>
          <w:sz w:val="20"/>
          <w:szCs w:val="20"/>
        </w:rPr>
        <w:t xml:space="preserve"> found when respondents were asked if they had heard of the Trusts 2020 Health and Wellbeing Hub (68%) and Freedom to Speak Up Guardians (66%). 74% of respondents said they would use either service if they needed to. </w:t>
      </w:r>
    </w:p>
    <w:p w:rsidR="00741573" w:rsidRPr="002C5E9D" w:rsidRDefault="006422FE" w:rsidP="00074851">
      <w:pPr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>Demographic</w:t>
      </w:r>
      <w:r w:rsidR="00741573" w:rsidRPr="002C5E9D">
        <w:rPr>
          <w:rFonts w:ascii="Arial" w:hAnsi="Arial" w:cs="Arial"/>
          <w:b/>
          <w:sz w:val="20"/>
          <w:szCs w:val="20"/>
          <w:u w:val="single"/>
        </w:rPr>
        <w:t xml:space="preserve"> data</w:t>
      </w:r>
    </w:p>
    <w:p w:rsidR="00B106FC" w:rsidRPr="002C5E9D" w:rsidRDefault="00B106FC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Gender</w:t>
      </w:r>
      <w:r w:rsidRPr="002C5E9D">
        <w:rPr>
          <w:rFonts w:ascii="Arial" w:hAnsi="Arial" w:cs="Arial"/>
          <w:sz w:val="20"/>
          <w:szCs w:val="20"/>
        </w:rPr>
        <w:t>: 400 female (90%), 39 male (9%), 7 preferred not to say (1%)</w:t>
      </w:r>
    </w:p>
    <w:p w:rsidR="00B106FC" w:rsidRPr="002C5E9D" w:rsidRDefault="00B106FC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Ethnicity</w:t>
      </w:r>
      <w:r w:rsidRPr="002C5E9D">
        <w:rPr>
          <w:rFonts w:ascii="Arial" w:hAnsi="Arial" w:cs="Arial"/>
          <w:sz w:val="20"/>
          <w:szCs w:val="20"/>
        </w:rPr>
        <w:t xml:space="preserve">: 81% White - British, 13% BAME, 3%, Prefer not to say, 3% </w:t>
      </w:r>
      <w:proofErr w:type="gramStart"/>
      <w:r w:rsidRPr="002C5E9D">
        <w:rPr>
          <w:rFonts w:ascii="Arial" w:hAnsi="Arial" w:cs="Arial"/>
          <w:sz w:val="20"/>
          <w:szCs w:val="20"/>
        </w:rPr>
        <w:t>Other</w:t>
      </w:r>
      <w:proofErr w:type="gramEnd"/>
      <w:r w:rsidRPr="002C5E9D">
        <w:rPr>
          <w:rFonts w:ascii="Arial" w:hAnsi="Arial" w:cs="Arial"/>
          <w:sz w:val="20"/>
          <w:szCs w:val="20"/>
        </w:rPr>
        <w:t>.</w:t>
      </w:r>
    </w:p>
    <w:p w:rsidR="00B106FC" w:rsidRPr="002C5E9D" w:rsidRDefault="00B106FC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Disability/ Long term health condition</w:t>
      </w:r>
      <w:r w:rsidRPr="002C5E9D">
        <w:rPr>
          <w:rFonts w:ascii="Arial" w:hAnsi="Arial" w:cs="Arial"/>
          <w:sz w:val="20"/>
          <w:szCs w:val="20"/>
        </w:rPr>
        <w:t>: 20% Yes, 78% No, 2% Prefer not to say.</w:t>
      </w:r>
    </w:p>
    <w:p w:rsidR="00B106FC" w:rsidRPr="002C5E9D" w:rsidRDefault="00B106FC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Job title</w:t>
      </w:r>
      <w:r w:rsidRPr="002C5E9D">
        <w:rPr>
          <w:rFonts w:ascii="Arial" w:hAnsi="Arial" w:cs="Arial"/>
          <w:sz w:val="20"/>
          <w:szCs w:val="20"/>
        </w:rPr>
        <w:t>: 45% RGN, 21% Other, 13% CNS, 11% HCA, 7% ANP, 2% Matron, 2% (Apprentice, TNA, NA)</w:t>
      </w:r>
    </w:p>
    <w:p w:rsidR="00B106FC" w:rsidRPr="002C5E9D" w:rsidRDefault="00B106FC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Working Pattern</w:t>
      </w:r>
      <w:r w:rsidRPr="002C5E9D">
        <w:rPr>
          <w:rFonts w:ascii="Arial" w:hAnsi="Arial" w:cs="Arial"/>
          <w:sz w:val="20"/>
          <w:szCs w:val="20"/>
        </w:rPr>
        <w:t>:  59% Full time, 41% part time</w:t>
      </w:r>
    </w:p>
    <w:p w:rsidR="00E77904" w:rsidRPr="002C5E9D" w:rsidRDefault="00523C97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t>Age</w:t>
      </w:r>
      <w:r w:rsidRPr="002C5E9D">
        <w:rPr>
          <w:rFonts w:ascii="Arial" w:hAnsi="Arial" w:cs="Arial"/>
          <w:sz w:val="20"/>
          <w:szCs w:val="20"/>
        </w:rPr>
        <w:t>: 26% of respondents were aged between 40-50</w:t>
      </w:r>
      <w:r w:rsidR="005A15BF">
        <w:rPr>
          <w:rFonts w:ascii="Arial" w:hAnsi="Arial" w:cs="Arial"/>
          <w:sz w:val="20"/>
          <w:szCs w:val="20"/>
        </w:rPr>
        <w:t xml:space="preserve"> years</w:t>
      </w:r>
      <w:r w:rsidRPr="002C5E9D">
        <w:rPr>
          <w:rFonts w:ascii="Arial" w:hAnsi="Arial" w:cs="Arial"/>
          <w:sz w:val="20"/>
          <w:szCs w:val="20"/>
        </w:rPr>
        <w:t>, 20% of respondents were aged between 30-40 years.</w:t>
      </w:r>
    </w:p>
    <w:p w:rsidR="00523C97" w:rsidRPr="002C5E9D" w:rsidRDefault="00523C97" w:rsidP="001D313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b/>
          <w:sz w:val="20"/>
          <w:szCs w:val="20"/>
        </w:rPr>
        <w:lastRenderedPageBreak/>
        <w:t>Pay band</w:t>
      </w:r>
      <w:r w:rsidRPr="002C5E9D">
        <w:rPr>
          <w:rFonts w:ascii="Arial" w:hAnsi="Arial" w:cs="Arial"/>
          <w:sz w:val="20"/>
          <w:szCs w:val="20"/>
        </w:rPr>
        <w:t>: 31% of respondents were band 5, 28% band 6, 22% band 7 and 15% bands 1-4.</w:t>
      </w:r>
    </w:p>
    <w:p w:rsidR="00921DB8" w:rsidRPr="002C5E9D" w:rsidRDefault="00523C97" w:rsidP="00523C97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</w:rPr>
        <w:t>Length of service</w:t>
      </w:r>
      <w:r w:rsidRPr="002C5E9D">
        <w:rPr>
          <w:rFonts w:ascii="Arial" w:hAnsi="Arial" w:cs="Arial"/>
          <w:sz w:val="20"/>
          <w:szCs w:val="20"/>
        </w:rPr>
        <w:t xml:space="preserve">: 26% of respondents have worked for the Trust for over 20 years, 16% of respondents 15-20 years, and 13% have worked 1-3 years. 6% of respondents have worked less than 6 months. </w:t>
      </w:r>
    </w:p>
    <w:p w:rsidR="00523C97" w:rsidRPr="002C5E9D" w:rsidRDefault="006D4C6F" w:rsidP="006D4C6F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This </w:t>
      </w:r>
      <w:r w:rsidR="000D7D70" w:rsidRPr="002C5E9D">
        <w:rPr>
          <w:rFonts w:ascii="Arial" w:hAnsi="Arial" w:cs="Arial"/>
          <w:sz w:val="20"/>
          <w:szCs w:val="20"/>
        </w:rPr>
        <w:t xml:space="preserve">demographic </w:t>
      </w:r>
      <w:r w:rsidRPr="002C5E9D">
        <w:rPr>
          <w:rFonts w:ascii="Arial" w:hAnsi="Arial" w:cs="Arial"/>
          <w:sz w:val="20"/>
          <w:szCs w:val="20"/>
        </w:rPr>
        <w:t>data demonstrates that the majority of responses</w:t>
      </w:r>
      <w:r w:rsidR="00651B16" w:rsidRPr="002C5E9D">
        <w:rPr>
          <w:rFonts w:ascii="Arial" w:hAnsi="Arial" w:cs="Arial"/>
          <w:sz w:val="20"/>
          <w:szCs w:val="20"/>
        </w:rPr>
        <w:t xml:space="preserve"> came </w:t>
      </w:r>
      <w:r w:rsidRPr="002C5E9D">
        <w:rPr>
          <w:rFonts w:ascii="Arial" w:hAnsi="Arial" w:cs="Arial"/>
          <w:sz w:val="20"/>
          <w:szCs w:val="20"/>
        </w:rPr>
        <w:t xml:space="preserve">from </w:t>
      </w:r>
      <w:r w:rsidR="00F328F9" w:rsidRPr="002C5E9D">
        <w:rPr>
          <w:rFonts w:ascii="Arial" w:hAnsi="Arial" w:cs="Arial"/>
          <w:sz w:val="20"/>
          <w:szCs w:val="20"/>
        </w:rPr>
        <w:t>W</w:t>
      </w:r>
      <w:r w:rsidRPr="002C5E9D">
        <w:rPr>
          <w:rFonts w:ascii="Arial" w:hAnsi="Arial" w:cs="Arial"/>
          <w:sz w:val="20"/>
          <w:szCs w:val="20"/>
        </w:rPr>
        <w:t>hite British female</w:t>
      </w:r>
      <w:r w:rsidR="00651B16" w:rsidRPr="002C5E9D">
        <w:rPr>
          <w:rFonts w:ascii="Arial" w:hAnsi="Arial" w:cs="Arial"/>
          <w:sz w:val="20"/>
          <w:szCs w:val="20"/>
        </w:rPr>
        <w:t xml:space="preserve"> colleagues</w:t>
      </w:r>
      <w:r w:rsidRPr="002C5E9D">
        <w:rPr>
          <w:rFonts w:ascii="Arial" w:hAnsi="Arial" w:cs="Arial"/>
          <w:sz w:val="20"/>
          <w:szCs w:val="20"/>
        </w:rPr>
        <w:t>, with a quarter of who have worked for the Trust for over 20</w:t>
      </w:r>
      <w:r w:rsidR="00651B16" w:rsidRPr="002C5E9D">
        <w:rPr>
          <w:rFonts w:ascii="Arial" w:hAnsi="Arial" w:cs="Arial"/>
          <w:sz w:val="20"/>
          <w:szCs w:val="20"/>
        </w:rPr>
        <w:t xml:space="preserve"> </w:t>
      </w:r>
      <w:r w:rsidRPr="002C5E9D">
        <w:rPr>
          <w:rFonts w:ascii="Arial" w:hAnsi="Arial" w:cs="Arial"/>
          <w:sz w:val="20"/>
          <w:szCs w:val="20"/>
        </w:rPr>
        <w:t>years</w:t>
      </w:r>
      <w:r w:rsidR="000D7D70" w:rsidRPr="002C5E9D">
        <w:rPr>
          <w:rFonts w:ascii="Arial" w:hAnsi="Arial" w:cs="Arial"/>
          <w:sz w:val="20"/>
          <w:szCs w:val="20"/>
        </w:rPr>
        <w:t>. Only 13% of our BAME workforce submitted a response</w:t>
      </w:r>
      <w:r w:rsidR="00523C97" w:rsidRPr="002C5E9D">
        <w:rPr>
          <w:rFonts w:ascii="Arial" w:hAnsi="Arial" w:cs="Arial"/>
          <w:sz w:val="20"/>
          <w:szCs w:val="20"/>
        </w:rPr>
        <w:t>.</w:t>
      </w:r>
      <w:r w:rsidR="00BC425F" w:rsidRPr="002C5E9D">
        <w:rPr>
          <w:rFonts w:ascii="Arial" w:hAnsi="Arial" w:cs="Arial"/>
          <w:sz w:val="20"/>
          <w:szCs w:val="20"/>
        </w:rPr>
        <w:t xml:space="preserve"> In this dataset there were no significant differences between </w:t>
      </w:r>
      <w:r w:rsidR="00F328F9" w:rsidRPr="002C5E9D">
        <w:rPr>
          <w:rFonts w:ascii="Arial" w:hAnsi="Arial" w:cs="Arial"/>
          <w:sz w:val="20"/>
          <w:szCs w:val="20"/>
        </w:rPr>
        <w:t>W</w:t>
      </w:r>
      <w:r w:rsidR="00BC425F" w:rsidRPr="002C5E9D">
        <w:rPr>
          <w:rFonts w:ascii="Arial" w:hAnsi="Arial" w:cs="Arial"/>
          <w:sz w:val="20"/>
          <w:szCs w:val="20"/>
        </w:rPr>
        <w:t>hite and BAME respondents.</w:t>
      </w:r>
      <w:r w:rsidR="00523C97" w:rsidRPr="002C5E9D">
        <w:rPr>
          <w:rFonts w:ascii="Arial" w:hAnsi="Arial" w:cs="Arial"/>
          <w:sz w:val="20"/>
          <w:szCs w:val="20"/>
        </w:rPr>
        <w:t xml:space="preserve"> Only 5% of HCA workforce responded to this survey. </w:t>
      </w:r>
    </w:p>
    <w:p w:rsidR="00B106FC" w:rsidRPr="002C5E9D" w:rsidRDefault="00523C97" w:rsidP="00074851">
      <w:pPr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>Overview of</w:t>
      </w:r>
      <w:r w:rsidR="00B106FC" w:rsidRPr="002C5E9D">
        <w:rPr>
          <w:rFonts w:ascii="Arial" w:hAnsi="Arial" w:cs="Arial"/>
          <w:b/>
          <w:sz w:val="20"/>
          <w:szCs w:val="20"/>
          <w:u w:val="single"/>
        </w:rPr>
        <w:t xml:space="preserve"> responses</w:t>
      </w:r>
    </w:p>
    <w:p w:rsidR="008A326E" w:rsidRPr="002C5E9D" w:rsidRDefault="00B106FC" w:rsidP="00435BD5">
      <w:pPr>
        <w:rPr>
          <w:rFonts w:ascii="Arial" w:hAnsi="Arial" w:cs="Arial"/>
          <w:sz w:val="20"/>
          <w:szCs w:val="20"/>
          <w:u w:val="single"/>
        </w:rPr>
      </w:pPr>
      <w:r w:rsidRPr="002C5E9D">
        <w:rPr>
          <w:rFonts w:ascii="Arial" w:hAnsi="Arial" w:cs="Arial"/>
          <w:sz w:val="20"/>
          <w:szCs w:val="20"/>
          <w:u w:val="single"/>
        </w:rPr>
        <w:t>‘What influences you to stay in our Trust?’</w:t>
      </w:r>
      <w:r w:rsidR="009E4FEF" w:rsidRPr="002C5E9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8A326E" w:rsidRPr="002C5E9D" w:rsidRDefault="008A326E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88% </w:t>
      </w:r>
      <w:r w:rsidR="00B106FC" w:rsidRPr="002C5E9D">
        <w:rPr>
          <w:rFonts w:ascii="Arial" w:hAnsi="Arial" w:cs="Arial"/>
          <w:sz w:val="20"/>
          <w:szCs w:val="20"/>
        </w:rPr>
        <w:t xml:space="preserve">of nursing respondents </w:t>
      </w:r>
      <w:r w:rsidR="00690B35">
        <w:rPr>
          <w:rFonts w:ascii="Arial" w:hAnsi="Arial" w:cs="Arial"/>
          <w:sz w:val="20"/>
          <w:szCs w:val="20"/>
        </w:rPr>
        <w:t>cited</w:t>
      </w:r>
      <w:r w:rsidR="00D0156F" w:rsidRPr="002C5E9D">
        <w:rPr>
          <w:rFonts w:ascii="Arial" w:hAnsi="Arial" w:cs="Arial"/>
          <w:sz w:val="20"/>
          <w:szCs w:val="20"/>
        </w:rPr>
        <w:t xml:space="preserve"> their colleagues</w:t>
      </w:r>
      <w:r w:rsidR="00690B35">
        <w:rPr>
          <w:rFonts w:ascii="Arial" w:hAnsi="Arial" w:cs="Arial"/>
          <w:sz w:val="20"/>
          <w:szCs w:val="20"/>
        </w:rPr>
        <w:t xml:space="preserve"> as the top reason to stay</w:t>
      </w:r>
      <w:r w:rsidRPr="002C5E9D">
        <w:rPr>
          <w:rFonts w:ascii="Arial" w:hAnsi="Arial" w:cs="Arial"/>
          <w:sz w:val="20"/>
          <w:szCs w:val="20"/>
        </w:rPr>
        <w:t xml:space="preserve">, followed by geographic location </w:t>
      </w:r>
      <w:r w:rsidR="00690B35">
        <w:rPr>
          <w:rFonts w:ascii="Arial" w:hAnsi="Arial" w:cs="Arial"/>
          <w:sz w:val="20"/>
          <w:szCs w:val="20"/>
        </w:rPr>
        <w:t>(</w:t>
      </w:r>
      <w:r w:rsidRPr="002C5E9D">
        <w:rPr>
          <w:rFonts w:ascii="Arial" w:hAnsi="Arial" w:cs="Arial"/>
          <w:sz w:val="20"/>
          <w:szCs w:val="20"/>
        </w:rPr>
        <w:t>82%</w:t>
      </w:r>
      <w:r w:rsidR="00690B35">
        <w:rPr>
          <w:rFonts w:ascii="Arial" w:hAnsi="Arial" w:cs="Arial"/>
          <w:sz w:val="20"/>
          <w:szCs w:val="20"/>
        </w:rPr>
        <w:t>), family (</w:t>
      </w:r>
      <w:r w:rsidRPr="002C5E9D">
        <w:rPr>
          <w:rFonts w:ascii="Arial" w:hAnsi="Arial" w:cs="Arial"/>
          <w:sz w:val="20"/>
          <w:szCs w:val="20"/>
        </w:rPr>
        <w:t>74%</w:t>
      </w:r>
      <w:r w:rsidR="00690B35">
        <w:rPr>
          <w:rFonts w:ascii="Arial" w:hAnsi="Arial" w:cs="Arial"/>
          <w:sz w:val="20"/>
          <w:szCs w:val="20"/>
        </w:rPr>
        <w:t>)</w:t>
      </w:r>
      <w:r w:rsidRPr="002C5E9D">
        <w:rPr>
          <w:rFonts w:ascii="Arial" w:hAnsi="Arial" w:cs="Arial"/>
          <w:sz w:val="20"/>
          <w:szCs w:val="20"/>
        </w:rPr>
        <w:t xml:space="preserve"> and a positive and enjoyable place to work </w:t>
      </w:r>
      <w:r w:rsidR="00690B35">
        <w:rPr>
          <w:rFonts w:ascii="Arial" w:hAnsi="Arial" w:cs="Arial"/>
          <w:sz w:val="20"/>
          <w:szCs w:val="20"/>
        </w:rPr>
        <w:t>(</w:t>
      </w:r>
      <w:r w:rsidRPr="002C5E9D">
        <w:rPr>
          <w:rFonts w:ascii="Arial" w:hAnsi="Arial" w:cs="Arial"/>
          <w:sz w:val="20"/>
          <w:szCs w:val="20"/>
        </w:rPr>
        <w:t>70%</w:t>
      </w:r>
      <w:r w:rsidR="00690B35">
        <w:rPr>
          <w:rFonts w:ascii="Arial" w:hAnsi="Arial" w:cs="Arial"/>
          <w:sz w:val="20"/>
          <w:szCs w:val="20"/>
        </w:rPr>
        <w:t>)</w:t>
      </w:r>
      <w:r w:rsidR="00435BD5" w:rsidRPr="002C5E9D">
        <w:rPr>
          <w:rFonts w:ascii="Arial" w:hAnsi="Arial" w:cs="Arial"/>
          <w:sz w:val="20"/>
          <w:szCs w:val="20"/>
        </w:rPr>
        <w:t>.</w:t>
      </w:r>
    </w:p>
    <w:p w:rsidR="00B106FC" w:rsidRPr="00690B35" w:rsidRDefault="00B106FC" w:rsidP="00435BD5">
      <w:pPr>
        <w:rPr>
          <w:rFonts w:ascii="Arial" w:hAnsi="Arial" w:cs="Arial"/>
          <w:sz w:val="20"/>
          <w:szCs w:val="20"/>
          <w:u w:val="single"/>
        </w:rPr>
      </w:pPr>
      <w:r w:rsidRPr="00690B35">
        <w:rPr>
          <w:rFonts w:ascii="Arial" w:hAnsi="Arial" w:cs="Arial"/>
          <w:sz w:val="20"/>
          <w:szCs w:val="20"/>
          <w:u w:val="single"/>
        </w:rPr>
        <w:t>‘Have you have ever thought about leaving our Trust?’</w:t>
      </w:r>
    </w:p>
    <w:p w:rsidR="00B106FC" w:rsidRPr="002C5E9D" w:rsidRDefault="00D0156F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73% of respondents had thought about leaving the Trust</w:t>
      </w:r>
      <w:r w:rsidR="00651B16" w:rsidRPr="002C5E9D">
        <w:rPr>
          <w:rFonts w:ascii="Arial" w:hAnsi="Arial" w:cs="Arial"/>
          <w:sz w:val="20"/>
          <w:szCs w:val="20"/>
        </w:rPr>
        <w:t>, 65% of those had thought about it in the last year</w:t>
      </w:r>
      <w:r w:rsidRPr="002C5E9D">
        <w:rPr>
          <w:rFonts w:ascii="Arial" w:hAnsi="Arial" w:cs="Arial"/>
          <w:sz w:val="20"/>
          <w:szCs w:val="20"/>
        </w:rPr>
        <w:t xml:space="preserve">. </w:t>
      </w:r>
    </w:p>
    <w:p w:rsidR="006422FE" w:rsidRPr="002C5E9D" w:rsidRDefault="00B106FC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From this group, </w:t>
      </w:r>
      <w:r w:rsidR="00D0156F" w:rsidRPr="002C5E9D">
        <w:rPr>
          <w:rFonts w:ascii="Arial" w:hAnsi="Arial" w:cs="Arial"/>
          <w:sz w:val="20"/>
          <w:szCs w:val="20"/>
        </w:rPr>
        <w:t>23% were our Band 6 workforce and 17% were B</w:t>
      </w:r>
      <w:r w:rsidR="00841A72" w:rsidRPr="002C5E9D">
        <w:rPr>
          <w:rFonts w:ascii="Arial" w:hAnsi="Arial" w:cs="Arial"/>
          <w:sz w:val="20"/>
          <w:szCs w:val="20"/>
        </w:rPr>
        <w:t xml:space="preserve">and 7’s. The band 6 </w:t>
      </w:r>
      <w:r w:rsidR="00435BD5" w:rsidRPr="002C5E9D">
        <w:rPr>
          <w:rFonts w:ascii="Arial" w:hAnsi="Arial" w:cs="Arial"/>
          <w:sz w:val="20"/>
          <w:szCs w:val="20"/>
        </w:rPr>
        <w:t>respondents</w:t>
      </w:r>
      <w:r w:rsidR="00841A72" w:rsidRPr="002C5E9D">
        <w:rPr>
          <w:rFonts w:ascii="Arial" w:hAnsi="Arial" w:cs="Arial"/>
          <w:sz w:val="20"/>
          <w:szCs w:val="20"/>
        </w:rPr>
        <w:t xml:space="preserve"> also scored highly for thinking of leaving within the last month. </w:t>
      </w:r>
    </w:p>
    <w:p w:rsidR="003A0D5E" w:rsidRPr="002C5E9D" w:rsidRDefault="003A0D5E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C12D739" wp14:editId="09D790EF">
            <wp:extent cx="6407780" cy="1905582"/>
            <wp:effectExtent l="0" t="0" r="1270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5BD5" w:rsidRPr="00690B35" w:rsidRDefault="00435BD5" w:rsidP="00435BD5">
      <w:pPr>
        <w:rPr>
          <w:rFonts w:ascii="Arial" w:hAnsi="Arial" w:cs="Arial"/>
          <w:sz w:val="20"/>
          <w:szCs w:val="20"/>
        </w:rPr>
      </w:pPr>
      <w:r w:rsidRPr="00690B35">
        <w:rPr>
          <w:rFonts w:ascii="Arial" w:hAnsi="Arial" w:cs="Arial"/>
          <w:sz w:val="20"/>
          <w:szCs w:val="20"/>
        </w:rPr>
        <w:t xml:space="preserve"> </w:t>
      </w:r>
      <w:r w:rsidRPr="00690B35">
        <w:rPr>
          <w:rFonts w:ascii="Arial" w:hAnsi="Arial" w:cs="Arial"/>
          <w:sz w:val="20"/>
          <w:szCs w:val="20"/>
          <w:u w:val="single"/>
        </w:rPr>
        <w:t>‘What made you think about leaving?’</w:t>
      </w:r>
      <w:r w:rsidRPr="00690B35">
        <w:rPr>
          <w:rFonts w:ascii="Arial" w:hAnsi="Arial" w:cs="Arial"/>
          <w:sz w:val="20"/>
          <w:szCs w:val="20"/>
        </w:rPr>
        <w:t xml:space="preserve"> </w:t>
      </w:r>
    </w:p>
    <w:p w:rsidR="00435BD5" w:rsidRPr="002C5E9D" w:rsidRDefault="00435BD5" w:rsidP="00435BD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Respondents rated the following in order of preference: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Work pressure (65%)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Staffing levels (64%)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Burnout (54%)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Poor work life balance (48%)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Feeling unsupported (47%)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Lack of development opportunities (47%)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Increased patient expectations (47%)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Lack of engagement and poor communication (43%)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Lack of flexible working (34%)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Poor health and wellbeing (28%)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Bullying and harassment (25%)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Relationship with line manager (24%)</w:t>
      </w:r>
    </w:p>
    <w:p w:rsidR="00435BD5" w:rsidRPr="002C5E9D" w:rsidRDefault="00435BD5" w:rsidP="00435B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Lack of social groups (17%)</w:t>
      </w:r>
    </w:p>
    <w:p w:rsidR="003A0D5E" w:rsidRPr="00690B35" w:rsidRDefault="00E77904" w:rsidP="00074851">
      <w:pPr>
        <w:rPr>
          <w:rFonts w:ascii="Arial" w:hAnsi="Arial" w:cs="Arial"/>
          <w:sz w:val="20"/>
          <w:szCs w:val="20"/>
          <w:u w:val="single"/>
        </w:rPr>
      </w:pPr>
      <w:r w:rsidRPr="00690B35">
        <w:rPr>
          <w:rFonts w:ascii="Arial" w:hAnsi="Arial" w:cs="Arial"/>
          <w:sz w:val="20"/>
          <w:szCs w:val="20"/>
          <w:u w:val="single"/>
        </w:rPr>
        <w:lastRenderedPageBreak/>
        <w:t xml:space="preserve">Bullying and Harassment </w:t>
      </w:r>
    </w:p>
    <w:p w:rsidR="00E77904" w:rsidRPr="002C5E9D" w:rsidRDefault="00E77904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25% of respondents said they would leave due to reasons of bullying and harassment. Of those, 32% were band 5 staff and 46% were RGN’s. Of those who would leave due to bullying and harassment, 66% had thought about leaving in the last 12 months and 64% also felt they would leave due to burnout. </w:t>
      </w:r>
    </w:p>
    <w:p w:rsidR="00E029AA" w:rsidRPr="00690B35" w:rsidRDefault="00435BD5" w:rsidP="00074851">
      <w:pPr>
        <w:rPr>
          <w:rFonts w:ascii="Arial" w:hAnsi="Arial" w:cs="Arial"/>
          <w:sz w:val="20"/>
          <w:szCs w:val="20"/>
          <w:u w:val="single"/>
        </w:rPr>
      </w:pPr>
      <w:r w:rsidRPr="00690B35">
        <w:rPr>
          <w:rFonts w:ascii="Arial" w:hAnsi="Arial" w:cs="Arial"/>
          <w:sz w:val="20"/>
          <w:szCs w:val="20"/>
          <w:u w:val="single"/>
        </w:rPr>
        <w:t>‘What would you like to see most improved?’</w:t>
      </w:r>
    </w:p>
    <w:p w:rsidR="003A0D5E" w:rsidRPr="002C5E9D" w:rsidRDefault="00FA32E9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The following table</w:t>
      </w:r>
      <w:r w:rsidR="002C1F0F" w:rsidRPr="002C5E9D">
        <w:rPr>
          <w:rFonts w:ascii="Arial" w:hAnsi="Arial" w:cs="Arial"/>
          <w:sz w:val="20"/>
          <w:szCs w:val="20"/>
        </w:rPr>
        <w:t xml:space="preserve"> demonstrates key </w:t>
      </w:r>
      <w:r w:rsidR="00E029AA" w:rsidRPr="002C5E9D">
        <w:rPr>
          <w:rFonts w:ascii="Arial" w:hAnsi="Arial" w:cs="Arial"/>
          <w:sz w:val="20"/>
          <w:szCs w:val="20"/>
        </w:rPr>
        <w:t xml:space="preserve">areas </w:t>
      </w:r>
      <w:r w:rsidR="002C1F0F" w:rsidRPr="002C5E9D">
        <w:rPr>
          <w:rFonts w:ascii="Arial" w:hAnsi="Arial" w:cs="Arial"/>
          <w:sz w:val="20"/>
          <w:szCs w:val="20"/>
        </w:rPr>
        <w:t xml:space="preserve">or initiatives </w:t>
      </w:r>
      <w:r w:rsidR="00E029AA" w:rsidRPr="002C5E9D">
        <w:rPr>
          <w:rFonts w:ascii="Arial" w:hAnsi="Arial" w:cs="Arial"/>
          <w:sz w:val="20"/>
          <w:szCs w:val="20"/>
        </w:rPr>
        <w:t xml:space="preserve">that </w:t>
      </w:r>
      <w:r w:rsidR="00435BD5" w:rsidRPr="002C5E9D">
        <w:rPr>
          <w:rFonts w:ascii="Arial" w:hAnsi="Arial" w:cs="Arial"/>
          <w:sz w:val="20"/>
          <w:szCs w:val="20"/>
        </w:rPr>
        <w:t>nursing respondents</w:t>
      </w:r>
      <w:r w:rsidR="00E029AA" w:rsidRPr="002C5E9D">
        <w:rPr>
          <w:rFonts w:ascii="Arial" w:hAnsi="Arial" w:cs="Arial"/>
          <w:sz w:val="20"/>
          <w:szCs w:val="20"/>
        </w:rPr>
        <w:t xml:space="preserve"> feel could be improved or developed within the Trust. T</w:t>
      </w:r>
      <w:r w:rsidRPr="002C5E9D">
        <w:rPr>
          <w:rFonts w:ascii="Arial" w:hAnsi="Arial" w:cs="Arial"/>
          <w:sz w:val="20"/>
          <w:szCs w:val="20"/>
        </w:rPr>
        <w:t>he top 4 are all ranked high</w:t>
      </w:r>
      <w:r w:rsidR="00E029AA" w:rsidRPr="002C5E9D">
        <w:rPr>
          <w:rFonts w:ascii="Arial" w:hAnsi="Arial" w:cs="Arial"/>
          <w:sz w:val="20"/>
          <w:szCs w:val="20"/>
        </w:rPr>
        <w:t xml:space="preserve"> across all staff grades with a</w:t>
      </w:r>
      <w:r w:rsidRPr="002C5E9D">
        <w:rPr>
          <w:rFonts w:ascii="Arial" w:hAnsi="Arial" w:cs="Arial"/>
          <w:sz w:val="20"/>
          <w:szCs w:val="20"/>
        </w:rPr>
        <w:t>n improved staff</w:t>
      </w:r>
      <w:r w:rsidR="00E029AA" w:rsidRPr="002C5E9D">
        <w:rPr>
          <w:rFonts w:ascii="Arial" w:hAnsi="Arial" w:cs="Arial"/>
          <w:sz w:val="20"/>
          <w:szCs w:val="20"/>
        </w:rPr>
        <w:t xml:space="preserve"> benefits package ranking highest.</w:t>
      </w:r>
    </w:p>
    <w:p w:rsidR="003A0D5E" w:rsidRPr="002C5E9D" w:rsidRDefault="00E27DA0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DDFD187" wp14:editId="7E76046D">
            <wp:extent cx="6317038" cy="1793899"/>
            <wp:effectExtent l="0" t="0" r="26670" b="1587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09E8" w:rsidRPr="00690B35" w:rsidRDefault="001B09E8" w:rsidP="001B09E8">
      <w:pPr>
        <w:rPr>
          <w:rFonts w:ascii="Arial" w:hAnsi="Arial" w:cs="Arial"/>
          <w:sz w:val="20"/>
          <w:szCs w:val="20"/>
          <w:u w:val="single"/>
        </w:rPr>
      </w:pPr>
      <w:r w:rsidRPr="00690B35">
        <w:rPr>
          <w:rFonts w:ascii="Arial" w:hAnsi="Arial" w:cs="Arial"/>
          <w:sz w:val="20"/>
          <w:szCs w:val="20"/>
          <w:u w:val="single"/>
        </w:rPr>
        <w:t xml:space="preserve">Health and wellbeing in the Trust </w:t>
      </w:r>
    </w:p>
    <w:p w:rsidR="001B09E8" w:rsidRPr="002C5E9D" w:rsidRDefault="001B09E8" w:rsidP="001B09E8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Of those asked, 68% (308) had heard of the 2020 Health and Wellbeing Hub but had never used it, 7% (32) had used it, and 24% (108) had never heard of the 2020 Hub. 74% (311) of all respondents said they would use the Hub if they needed to, and 26% (111) said they would not use it if they needed to. </w:t>
      </w:r>
    </w:p>
    <w:p w:rsidR="001B09E8" w:rsidRPr="002C5E9D" w:rsidRDefault="001B09E8" w:rsidP="001B09E8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Similar figures are demonstrated for the Trusts Freedom to Speak </w:t>
      </w:r>
      <w:proofErr w:type="gramStart"/>
      <w:r w:rsidRPr="002C5E9D">
        <w:rPr>
          <w:rFonts w:ascii="Arial" w:hAnsi="Arial" w:cs="Arial"/>
          <w:sz w:val="20"/>
          <w:szCs w:val="20"/>
        </w:rPr>
        <w:t>Up</w:t>
      </w:r>
      <w:proofErr w:type="gramEnd"/>
      <w:r w:rsidRPr="002C5E9D">
        <w:rPr>
          <w:rFonts w:ascii="Arial" w:hAnsi="Arial" w:cs="Arial"/>
          <w:sz w:val="20"/>
          <w:szCs w:val="20"/>
        </w:rPr>
        <w:t xml:space="preserve"> Guardians (FTSU); 66% had heard of the service, and 34% had not, whilst 74% would use the FTSU service if they wanted to raise a concern compared to 26% who would not. </w:t>
      </w:r>
    </w:p>
    <w:p w:rsidR="00F328F9" w:rsidRPr="002C5E9D" w:rsidRDefault="00382614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15% of the </w:t>
      </w:r>
      <w:r w:rsidR="00FA32E9" w:rsidRPr="002C5E9D">
        <w:rPr>
          <w:rFonts w:ascii="Arial" w:hAnsi="Arial" w:cs="Arial"/>
          <w:sz w:val="20"/>
          <w:szCs w:val="20"/>
        </w:rPr>
        <w:t>Band</w:t>
      </w:r>
      <w:r w:rsidRPr="002C5E9D">
        <w:rPr>
          <w:rFonts w:ascii="Arial" w:hAnsi="Arial" w:cs="Arial"/>
          <w:sz w:val="20"/>
          <w:szCs w:val="20"/>
        </w:rPr>
        <w:t xml:space="preserve"> 5 staff who responded had not heard of the </w:t>
      </w:r>
      <w:r w:rsidR="001B09E8" w:rsidRPr="002C5E9D">
        <w:rPr>
          <w:rFonts w:ascii="Arial" w:hAnsi="Arial" w:cs="Arial"/>
          <w:sz w:val="20"/>
          <w:szCs w:val="20"/>
        </w:rPr>
        <w:t>FTSU service</w:t>
      </w:r>
      <w:r w:rsidRPr="002C5E9D">
        <w:rPr>
          <w:rFonts w:ascii="Arial" w:hAnsi="Arial" w:cs="Arial"/>
          <w:sz w:val="20"/>
          <w:szCs w:val="20"/>
        </w:rPr>
        <w:t xml:space="preserve"> followed </w:t>
      </w:r>
      <w:r w:rsidR="001B09E8" w:rsidRPr="002C5E9D">
        <w:rPr>
          <w:rFonts w:ascii="Arial" w:hAnsi="Arial" w:cs="Arial"/>
          <w:sz w:val="20"/>
          <w:szCs w:val="20"/>
        </w:rPr>
        <w:t>by 8% of Band 6</w:t>
      </w:r>
      <w:r w:rsidRPr="002C5E9D">
        <w:rPr>
          <w:rFonts w:ascii="Arial" w:hAnsi="Arial" w:cs="Arial"/>
          <w:sz w:val="20"/>
          <w:szCs w:val="20"/>
        </w:rPr>
        <w:t>, 6% of bands 1-4 and 2% of band 7’s</w:t>
      </w:r>
      <w:r w:rsidR="00F328F9" w:rsidRPr="002C5E9D">
        <w:rPr>
          <w:rFonts w:ascii="Arial" w:hAnsi="Arial" w:cs="Arial"/>
          <w:sz w:val="20"/>
          <w:szCs w:val="20"/>
        </w:rPr>
        <w:t>.</w:t>
      </w:r>
    </w:p>
    <w:p w:rsidR="00F328F9" w:rsidRPr="002C5E9D" w:rsidRDefault="00F328F9" w:rsidP="00074851">
      <w:pPr>
        <w:rPr>
          <w:rFonts w:ascii="Arial" w:hAnsi="Arial" w:cs="Arial"/>
          <w:b/>
          <w:sz w:val="20"/>
          <w:szCs w:val="20"/>
          <w:u w:val="single"/>
        </w:rPr>
      </w:pPr>
      <w:r w:rsidRPr="002C5E9D">
        <w:rPr>
          <w:rFonts w:ascii="Arial" w:hAnsi="Arial" w:cs="Arial"/>
          <w:b/>
          <w:sz w:val="20"/>
          <w:szCs w:val="20"/>
          <w:u w:val="single"/>
        </w:rPr>
        <w:t xml:space="preserve">Conclusion </w:t>
      </w:r>
    </w:p>
    <w:p w:rsidR="00EC3715" w:rsidRPr="002C5E9D" w:rsidRDefault="00F328F9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This survey yielded an impressive return rate </w:t>
      </w:r>
      <w:r w:rsidR="00EB3038" w:rsidRPr="002C5E9D">
        <w:rPr>
          <w:rFonts w:ascii="Arial" w:hAnsi="Arial" w:cs="Arial"/>
          <w:sz w:val="20"/>
          <w:szCs w:val="20"/>
        </w:rPr>
        <w:t xml:space="preserve">from nursing staff (23%) and the findings demonstrate reasons for </w:t>
      </w:r>
      <w:r w:rsidR="002C5E9D" w:rsidRPr="002C5E9D">
        <w:rPr>
          <w:rFonts w:ascii="Arial" w:hAnsi="Arial" w:cs="Arial"/>
          <w:sz w:val="20"/>
          <w:szCs w:val="20"/>
        </w:rPr>
        <w:t>staying</w:t>
      </w:r>
      <w:r w:rsidR="00EB3038" w:rsidRPr="002C5E9D">
        <w:rPr>
          <w:rFonts w:ascii="Arial" w:hAnsi="Arial" w:cs="Arial"/>
          <w:sz w:val="20"/>
          <w:szCs w:val="20"/>
        </w:rPr>
        <w:t xml:space="preserve">, </w:t>
      </w:r>
      <w:r w:rsidR="002C5E9D" w:rsidRPr="002C5E9D">
        <w:rPr>
          <w:rFonts w:ascii="Arial" w:hAnsi="Arial" w:cs="Arial"/>
          <w:sz w:val="20"/>
          <w:szCs w:val="20"/>
        </w:rPr>
        <w:t xml:space="preserve">intentions to leave, </w:t>
      </w:r>
      <w:r w:rsidR="00EB3038" w:rsidRPr="002C5E9D">
        <w:rPr>
          <w:rFonts w:ascii="Arial" w:hAnsi="Arial" w:cs="Arial"/>
          <w:sz w:val="20"/>
          <w:szCs w:val="20"/>
        </w:rPr>
        <w:t xml:space="preserve">and key improvement areas. These findings have informed the Gloucestershire Hospitals Foundation Trust’s nurse retention action plan, </w:t>
      </w:r>
      <w:r w:rsidRPr="002C5E9D">
        <w:rPr>
          <w:rFonts w:ascii="Arial" w:hAnsi="Arial" w:cs="Arial"/>
          <w:sz w:val="20"/>
          <w:szCs w:val="20"/>
        </w:rPr>
        <w:t>‘</w:t>
      </w:r>
      <w:r w:rsidRPr="002C5E9D">
        <w:rPr>
          <w:rFonts w:ascii="Arial" w:hAnsi="Arial" w:cs="Arial"/>
          <w:i/>
          <w:sz w:val="20"/>
          <w:szCs w:val="20"/>
        </w:rPr>
        <w:t>Person-Centred Careers: Nursing. Work stream 3 Improving retention in nursing</w:t>
      </w:r>
      <w:r w:rsidRPr="002C5E9D">
        <w:rPr>
          <w:rFonts w:ascii="Arial" w:hAnsi="Arial" w:cs="Arial"/>
          <w:sz w:val="20"/>
          <w:szCs w:val="20"/>
        </w:rPr>
        <w:t>’</w:t>
      </w:r>
      <w:r w:rsidR="00EB3038" w:rsidRPr="002C5E9D">
        <w:rPr>
          <w:rFonts w:ascii="Arial" w:hAnsi="Arial" w:cs="Arial"/>
          <w:sz w:val="20"/>
          <w:szCs w:val="20"/>
        </w:rPr>
        <w:t xml:space="preserve"> (2019- 2024),</w:t>
      </w:r>
      <w:r w:rsidRPr="002C5E9D">
        <w:rPr>
          <w:rFonts w:ascii="Arial" w:hAnsi="Arial" w:cs="Arial"/>
          <w:sz w:val="20"/>
          <w:szCs w:val="20"/>
        </w:rPr>
        <w:t xml:space="preserve"> draft version 1 submitted</w:t>
      </w:r>
      <w:r w:rsidR="005A15BF">
        <w:rPr>
          <w:rFonts w:ascii="Arial" w:hAnsi="Arial" w:cs="Arial"/>
          <w:sz w:val="20"/>
          <w:szCs w:val="20"/>
        </w:rPr>
        <w:t xml:space="preserve"> to NHSI o</w:t>
      </w:r>
      <w:bookmarkStart w:id="0" w:name="_GoBack"/>
      <w:bookmarkEnd w:id="0"/>
      <w:r w:rsidR="00EB3038" w:rsidRPr="002C5E9D">
        <w:rPr>
          <w:rFonts w:ascii="Arial" w:hAnsi="Arial" w:cs="Arial"/>
          <w:sz w:val="20"/>
          <w:szCs w:val="20"/>
        </w:rPr>
        <w:t>n</w:t>
      </w:r>
      <w:r w:rsidRPr="002C5E9D">
        <w:rPr>
          <w:rFonts w:ascii="Arial" w:hAnsi="Arial" w:cs="Arial"/>
          <w:sz w:val="20"/>
          <w:szCs w:val="20"/>
        </w:rPr>
        <w:t xml:space="preserve"> November 29</w:t>
      </w:r>
      <w:r w:rsidRPr="002C5E9D">
        <w:rPr>
          <w:rFonts w:ascii="Arial" w:hAnsi="Arial" w:cs="Arial"/>
          <w:sz w:val="20"/>
          <w:szCs w:val="20"/>
          <w:vertAlign w:val="superscript"/>
        </w:rPr>
        <w:t>th</w:t>
      </w:r>
      <w:r w:rsidRPr="002C5E9D">
        <w:rPr>
          <w:rFonts w:ascii="Arial" w:hAnsi="Arial" w:cs="Arial"/>
          <w:sz w:val="20"/>
          <w:szCs w:val="20"/>
        </w:rPr>
        <w:t xml:space="preserve"> 2019. </w:t>
      </w:r>
    </w:p>
    <w:p w:rsidR="00F328F9" w:rsidRPr="002C5E9D" w:rsidRDefault="00F328F9" w:rsidP="00074851">
      <w:pPr>
        <w:rPr>
          <w:rFonts w:ascii="Arial" w:hAnsi="Arial" w:cs="Arial"/>
          <w:sz w:val="20"/>
          <w:szCs w:val="20"/>
        </w:rPr>
      </w:pPr>
    </w:p>
    <w:p w:rsidR="00382614" w:rsidRPr="002C5E9D" w:rsidRDefault="00F328F9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Fran Wilson</w:t>
      </w:r>
    </w:p>
    <w:p w:rsidR="001129FC" w:rsidRPr="002C5E9D" w:rsidRDefault="00F328F9" w:rsidP="00074851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 xml:space="preserve">Lead Nurse for Attraction Recruitment and Retention </w:t>
      </w:r>
    </w:p>
    <w:p w:rsidR="0022300D" w:rsidRPr="002C5E9D" w:rsidRDefault="00F328F9">
      <w:pPr>
        <w:rPr>
          <w:rFonts w:ascii="Arial" w:hAnsi="Arial" w:cs="Arial"/>
          <w:sz w:val="20"/>
          <w:szCs w:val="20"/>
        </w:rPr>
      </w:pPr>
      <w:r w:rsidRPr="002C5E9D">
        <w:rPr>
          <w:rFonts w:ascii="Arial" w:hAnsi="Arial" w:cs="Arial"/>
          <w:sz w:val="20"/>
          <w:szCs w:val="20"/>
        </w:rPr>
        <w:t>January 2020</w:t>
      </w:r>
    </w:p>
    <w:sectPr w:rsidR="0022300D" w:rsidRPr="002C5E9D" w:rsidSect="0049455A">
      <w:headerReference w:type="default" r:id="rId11"/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08" w:rsidRDefault="001A3808" w:rsidP="004D6A2D">
      <w:pPr>
        <w:spacing w:after="0" w:line="240" w:lineRule="auto"/>
      </w:pPr>
      <w:r>
        <w:separator/>
      </w:r>
    </w:p>
  </w:endnote>
  <w:endnote w:type="continuationSeparator" w:id="0">
    <w:p w:rsidR="001A3808" w:rsidRDefault="001A3808" w:rsidP="004D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E9" w:rsidRDefault="00FA32E9">
    <w:pPr>
      <w:pStyle w:val="Footer"/>
      <w:pBdr>
        <w:top w:val="single" w:sz="4" w:space="1" w:color="D9D9D9" w:themeColor="background1" w:themeShade="D9"/>
      </w:pBdr>
      <w:jc w:val="right"/>
    </w:pPr>
    <w:r>
      <w:t xml:space="preserve">Nurse Retention Questionnaire 2019                                      </w:t>
    </w:r>
    <w:sdt>
      <w:sdtPr>
        <w:id w:val="176241631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5B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  <w:p w:rsidR="00FA32E9" w:rsidRDefault="00FA3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08" w:rsidRDefault="001A3808" w:rsidP="004D6A2D">
      <w:pPr>
        <w:spacing w:after="0" w:line="240" w:lineRule="auto"/>
      </w:pPr>
      <w:r>
        <w:separator/>
      </w:r>
    </w:p>
  </w:footnote>
  <w:footnote w:type="continuationSeparator" w:id="0">
    <w:p w:rsidR="001A3808" w:rsidRDefault="001A3808" w:rsidP="004D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00843737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741573" w:rsidRDefault="00741573" w:rsidP="0074157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5BF" w:rsidRPr="005A15B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741573" w:rsidRDefault="00741573" w:rsidP="00741573">
    <w:pPr>
      <w:pStyle w:val="Header"/>
      <w:jc w:val="right"/>
    </w:pPr>
  </w:p>
  <w:p w:rsidR="00741573" w:rsidRDefault="00741573" w:rsidP="0074157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15D262" wp14:editId="5134B2D9">
          <wp:simplePos x="0" y="0"/>
          <wp:positionH relativeFrom="column">
            <wp:posOffset>4956810</wp:posOffset>
          </wp:positionH>
          <wp:positionV relativeFrom="paragraph">
            <wp:posOffset>-150495</wp:posOffset>
          </wp:positionV>
          <wp:extent cx="1181100" cy="4235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573" w:rsidRDefault="00741573" w:rsidP="00741573">
    <w:pPr>
      <w:pStyle w:val="Header"/>
      <w:jc w:val="right"/>
    </w:pPr>
  </w:p>
  <w:p w:rsidR="00741573" w:rsidRDefault="00741573" w:rsidP="007415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BDA"/>
    <w:multiLevelType w:val="hybridMultilevel"/>
    <w:tmpl w:val="B3507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143BF"/>
    <w:multiLevelType w:val="hybridMultilevel"/>
    <w:tmpl w:val="D5628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611C5"/>
    <w:multiLevelType w:val="hybridMultilevel"/>
    <w:tmpl w:val="C5D2BD24"/>
    <w:lvl w:ilvl="0" w:tplc="586C7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271EA"/>
    <w:multiLevelType w:val="hybridMultilevel"/>
    <w:tmpl w:val="D18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E72E2"/>
    <w:multiLevelType w:val="hybridMultilevel"/>
    <w:tmpl w:val="217C01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24BBC"/>
    <w:multiLevelType w:val="hybridMultilevel"/>
    <w:tmpl w:val="F836EF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074E8"/>
    <w:multiLevelType w:val="hybridMultilevel"/>
    <w:tmpl w:val="78CC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53086"/>
    <w:multiLevelType w:val="hybridMultilevel"/>
    <w:tmpl w:val="921E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B7D26"/>
    <w:multiLevelType w:val="hybridMultilevel"/>
    <w:tmpl w:val="D1DA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B2DE1"/>
    <w:multiLevelType w:val="hybridMultilevel"/>
    <w:tmpl w:val="AF0C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21887"/>
    <w:multiLevelType w:val="hybridMultilevel"/>
    <w:tmpl w:val="92C6202E"/>
    <w:lvl w:ilvl="0" w:tplc="0C3E2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A7B1C"/>
    <w:multiLevelType w:val="hybridMultilevel"/>
    <w:tmpl w:val="7C009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5776E"/>
    <w:multiLevelType w:val="hybridMultilevel"/>
    <w:tmpl w:val="2474F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11FB4"/>
    <w:multiLevelType w:val="hybridMultilevel"/>
    <w:tmpl w:val="D7102F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C69AC"/>
    <w:multiLevelType w:val="hybridMultilevel"/>
    <w:tmpl w:val="76145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B2542"/>
    <w:multiLevelType w:val="hybridMultilevel"/>
    <w:tmpl w:val="19E8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94413"/>
    <w:multiLevelType w:val="hybridMultilevel"/>
    <w:tmpl w:val="CA746D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14"/>
  </w:num>
  <w:num w:numId="15">
    <w:abstractNumId w:val="12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08"/>
    <w:rsid w:val="00005708"/>
    <w:rsid w:val="0001028C"/>
    <w:rsid w:val="00050809"/>
    <w:rsid w:val="00061C2F"/>
    <w:rsid w:val="00065615"/>
    <w:rsid w:val="00074851"/>
    <w:rsid w:val="000845FE"/>
    <w:rsid w:val="000C0ACA"/>
    <w:rsid w:val="000C1068"/>
    <w:rsid w:val="000D7D70"/>
    <w:rsid w:val="001129FC"/>
    <w:rsid w:val="001262CE"/>
    <w:rsid w:val="00172780"/>
    <w:rsid w:val="00176DFA"/>
    <w:rsid w:val="0019614C"/>
    <w:rsid w:val="001A3808"/>
    <w:rsid w:val="001B09E8"/>
    <w:rsid w:val="001D3137"/>
    <w:rsid w:val="001E0C45"/>
    <w:rsid w:val="001F1BBB"/>
    <w:rsid w:val="0022237A"/>
    <w:rsid w:val="0022300D"/>
    <w:rsid w:val="00250AE1"/>
    <w:rsid w:val="00255E88"/>
    <w:rsid w:val="002864D9"/>
    <w:rsid w:val="002A2E92"/>
    <w:rsid w:val="002C1F0F"/>
    <w:rsid w:val="002C5E9D"/>
    <w:rsid w:val="00317DA2"/>
    <w:rsid w:val="00335797"/>
    <w:rsid w:val="003454EE"/>
    <w:rsid w:val="00382614"/>
    <w:rsid w:val="00390F19"/>
    <w:rsid w:val="003943E0"/>
    <w:rsid w:val="003A0D5E"/>
    <w:rsid w:val="003D035D"/>
    <w:rsid w:val="0043331A"/>
    <w:rsid w:val="00435BD5"/>
    <w:rsid w:val="00487365"/>
    <w:rsid w:val="0048797D"/>
    <w:rsid w:val="0049455A"/>
    <w:rsid w:val="004B1035"/>
    <w:rsid w:val="004D6A2D"/>
    <w:rsid w:val="004E4646"/>
    <w:rsid w:val="004E7387"/>
    <w:rsid w:val="00506087"/>
    <w:rsid w:val="00513448"/>
    <w:rsid w:val="005170DB"/>
    <w:rsid w:val="00523C97"/>
    <w:rsid w:val="00530BB0"/>
    <w:rsid w:val="005A15BF"/>
    <w:rsid w:val="005E543E"/>
    <w:rsid w:val="005F48D3"/>
    <w:rsid w:val="00631F33"/>
    <w:rsid w:val="006422FE"/>
    <w:rsid w:val="00645CC9"/>
    <w:rsid w:val="00647099"/>
    <w:rsid w:val="0065174D"/>
    <w:rsid w:val="00651B16"/>
    <w:rsid w:val="00657683"/>
    <w:rsid w:val="00690B35"/>
    <w:rsid w:val="006D4C6F"/>
    <w:rsid w:val="006E16AF"/>
    <w:rsid w:val="00741573"/>
    <w:rsid w:val="0076365D"/>
    <w:rsid w:val="00793A01"/>
    <w:rsid w:val="007D6980"/>
    <w:rsid w:val="00805F54"/>
    <w:rsid w:val="00807BF8"/>
    <w:rsid w:val="00841A72"/>
    <w:rsid w:val="0084761A"/>
    <w:rsid w:val="008509C0"/>
    <w:rsid w:val="00855F23"/>
    <w:rsid w:val="008A326E"/>
    <w:rsid w:val="008A62B8"/>
    <w:rsid w:val="00904DC5"/>
    <w:rsid w:val="00917AB2"/>
    <w:rsid w:val="00921DB8"/>
    <w:rsid w:val="009654FC"/>
    <w:rsid w:val="009B0BE9"/>
    <w:rsid w:val="009E4FEF"/>
    <w:rsid w:val="00A24AFD"/>
    <w:rsid w:val="00A26A49"/>
    <w:rsid w:val="00A30398"/>
    <w:rsid w:val="00A716C3"/>
    <w:rsid w:val="00AB3ECD"/>
    <w:rsid w:val="00AD4FA0"/>
    <w:rsid w:val="00AE342C"/>
    <w:rsid w:val="00B106FC"/>
    <w:rsid w:val="00B261F9"/>
    <w:rsid w:val="00B42ECA"/>
    <w:rsid w:val="00B4614E"/>
    <w:rsid w:val="00BB5EA4"/>
    <w:rsid w:val="00BC21EF"/>
    <w:rsid w:val="00BC425F"/>
    <w:rsid w:val="00C44C49"/>
    <w:rsid w:val="00C669FA"/>
    <w:rsid w:val="00C9542F"/>
    <w:rsid w:val="00CD7F42"/>
    <w:rsid w:val="00CE520A"/>
    <w:rsid w:val="00CF18B4"/>
    <w:rsid w:val="00D0156F"/>
    <w:rsid w:val="00D04B6B"/>
    <w:rsid w:val="00D174CB"/>
    <w:rsid w:val="00D6210D"/>
    <w:rsid w:val="00D67FE4"/>
    <w:rsid w:val="00D848F9"/>
    <w:rsid w:val="00DD64BD"/>
    <w:rsid w:val="00DE566A"/>
    <w:rsid w:val="00DF1BA3"/>
    <w:rsid w:val="00E013CD"/>
    <w:rsid w:val="00E029AA"/>
    <w:rsid w:val="00E27DA0"/>
    <w:rsid w:val="00E41019"/>
    <w:rsid w:val="00E43838"/>
    <w:rsid w:val="00E77904"/>
    <w:rsid w:val="00EA54D0"/>
    <w:rsid w:val="00EB3038"/>
    <w:rsid w:val="00EC3715"/>
    <w:rsid w:val="00EC417F"/>
    <w:rsid w:val="00ED7D9F"/>
    <w:rsid w:val="00F1777D"/>
    <w:rsid w:val="00F214D8"/>
    <w:rsid w:val="00F328F9"/>
    <w:rsid w:val="00F62975"/>
    <w:rsid w:val="00F84525"/>
    <w:rsid w:val="00F9131F"/>
    <w:rsid w:val="00FA32E9"/>
    <w:rsid w:val="00FA5D7D"/>
    <w:rsid w:val="00FD1983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2D"/>
  </w:style>
  <w:style w:type="paragraph" w:styleId="Footer">
    <w:name w:val="footer"/>
    <w:basedOn w:val="Normal"/>
    <w:link w:val="FooterChar"/>
    <w:uiPriority w:val="99"/>
    <w:unhideWhenUsed/>
    <w:rsid w:val="004D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2D"/>
  </w:style>
  <w:style w:type="paragraph" w:styleId="ListParagraph">
    <w:name w:val="List Paragraph"/>
    <w:basedOn w:val="Normal"/>
    <w:uiPriority w:val="34"/>
    <w:qFormat/>
    <w:rsid w:val="004945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E73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387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07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5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2D"/>
  </w:style>
  <w:style w:type="paragraph" w:styleId="Footer">
    <w:name w:val="footer"/>
    <w:basedOn w:val="Normal"/>
    <w:link w:val="FooterChar"/>
    <w:uiPriority w:val="99"/>
    <w:unhideWhenUsed/>
    <w:rsid w:val="004D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2D"/>
  </w:style>
  <w:style w:type="paragraph" w:styleId="ListParagraph">
    <w:name w:val="List Paragraph"/>
    <w:basedOn w:val="Normal"/>
    <w:uiPriority w:val="34"/>
    <w:qFormat/>
    <w:rsid w:val="004945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E73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387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07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r>
              <a:rPr lang="en-GB" sz="1050" b="1">
                <a:latin typeface="+mn-lt"/>
                <a:cs typeface="Arial" panose="020B0604020202020204" pitchFamily="34" charset="0"/>
              </a:rPr>
              <a:t>When was the</a:t>
            </a:r>
            <a:r>
              <a:rPr lang="en-GB" sz="1050" b="1" baseline="0">
                <a:latin typeface="+mn-lt"/>
                <a:cs typeface="Arial" panose="020B0604020202020204" pitchFamily="34" charset="0"/>
              </a:rPr>
              <a:t> last time you thought about leaving?</a:t>
            </a:r>
            <a:endParaRPr lang="en-GB" sz="1050" b="1">
              <a:latin typeface="+mn-lt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6036989409748773"/>
          <c:y val="3.517480314960629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3878413422948477E-2"/>
          <c:y val="0.19274766890704187"/>
          <c:w val="0.78068132280817559"/>
          <c:h val="0.46575675576328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Sheet1!$B$35</c:f>
              <c:strCache>
                <c:ptCount val="1"/>
                <c:pt idx="0">
                  <c:v>1-4*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Sheet1!$A$36:$A$40</c:f>
              <c:strCache>
                <c:ptCount val="5"/>
                <c:pt idx="0">
                  <c:v>Within the last month</c:v>
                </c:pt>
                <c:pt idx="1">
                  <c:v>Within the last 6 months</c:v>
                </c:pt>
                <c:pt idx="2">
                  <c:v>Within the last 12 months</c:v>
                </c:pt>
                <c:pt idx="3">
                  <c:v>Over 1 year ago</c:v>
                </c:pt>
                <c:pt idx="4">
                  <c:v>Never</c:v>
                </c:pt>
              </c:strCache>
            </c:strRef>
          </c:cat>
          <c:val>
            <c:numRef>
              <c:f>Sheet1!$B$36:$B$40</c:f>
              <c:numCache>
                <c:formatCode>0%</c:formatCode>
                <c:ptCount val="5"/>
                <c:pt idx="0">
                  <c:v>2.81E-2</c:v>
                </c:pt>
                <c:pt idx="1">
                  <c:v>3.0300000000000001E-2</c:v>
                </c:pt>
                <c:pt idx="2">
                  <c:v>1.0800000000000001E-2</c:v>
                </c:pt>
                <c:pt idx="3">
                  <c:v>1.0800000000000001E-2</c:v>
                </c:pt>
                <c:pt idx="4">
                  <c:v>3.6799999999999999E-2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0C-4695-A9D4-7445A06CC023}"/>
            </c:ext>
          </c:extLst>
        </c:ser>
        <c:ser>
          <c:idx val="1"/>
          <c:order val="1"/>
          <c:tx>
            <c:strRef>
              <c:f>Sheet1!$C$35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Sheet1!$A$36:$A$40</c:f>
              <c:strCache>
                <c:ptCount val="5"/>
                <c:pt idx="0">
                  <c:v>Within the last month</c:v>
                </c:pt>
                <c:pt idx="1">
                  <c:v>Within the last 6 months</c:v>
                </c:pt>
                <c:pt idx="2">
                  <c:v>Within the last 12 months</c:v>
                </c:pt>
                <c:pt idx="3">
                  <c:v>Over 1 year ago</c:v>
                </c:pt>
                <c:pt idx="4">
                  <c:v>Never</c:v>
                </c:pt>
              </c:strCache>
            </c:strRef>
          </c:cat>
          <c:val>
            <c:numRef>
              <c:f>Sheet1!$C$36:$C$40</c:f>
              <c:numCache>
                <c:formatCode>0%</c:formatCode>
                <c:ptCount val="5"/>
                <c:pt idx="0">
                  <c:v>7.7899999999999997E-2</c:v>
                </c:pt>
                <c:pt idx="1">
                  <c:v>3.6799999999999999E-2</c:v>
                </c:pt>
                <c:pt idx="2">
                  <c:v>2.81E-2</c:v>
                </c:pt>
                <c:pt idx="3">
                  <c:v>2.5999999999999999E-2</c:v>
                </c:pt>
                <c:pt idx="4">
                  <c:v>5.4100000000000002E-2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0C-4695-A9D4-7445A06CC023}"/>
            </c:ext>
          </c:extLst>
        </c:ser>
        <c:ser>
          <c:idx val="2"/>
          <c:order val="2"/>
          <c:tx>
            <c:strRef>
              <c:f>Sheet1!$D$35</c:f>
              <c:strCache>
                <c:ptCount val="1"/>
                <c:pt idx="0">
                  <c:v>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Sheet1!$A$36:$A$40</c:f>
              <c:strCache>
                <c:ptCount val="5"/>
                <c:pt idx="0">
                  <c:v>Within the last month</c:v>
                </c:pt>
                <c:pt idx="1">
                  <c:v>Within the last 6 months</c:v>
                </c:pt>
                <c:pt idx="2">
                  <c:v>Within the last 12 months</c:v>
                </c:pt>
                <c:pt idx="3">
                  <c:v>Over 1 year ago</c:v>
                </c:pt>
                <c:pt idx="4">
                  <c:v>Never</c:v>
                </c:pt>
              </c:strCache>
            </c:strRef>
          </c:cat>
          <c:val>
            <c:numRef>
              <c:f>Sheet1!$D$36:$D$40</c:f>
              <c:numCache>
                <c:formatCode>0%</c:formatCode>
                <c:ptCount val="5"/>
                <c:pt idx="0">
                  <c:v>9.9599999999999994E-2</c:v>
                </c:pt>
                <c:pt idx="1">
                  <c:v>4.1099999999999998E-2</c:v>
                </c:pt>
                <c:pt idx="2">
                  <c:v>3.6799999999999999E-2</c:v>
                </c:pt>
                <c:pt idx="3">
                  <c:v>4.9799999999999997E-2</c:v>
                </c:pt>
                <c:pt idx="4">
                  <c:v>3.0300000000000001E-2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0C-4695-A9D4-7445A06CC023}"/>
            </c:ext>
          </c:extLst>
        </c:ser>
        <c:ser>
          <c:idx val="3"/>
          <c:order val="3"/>
          <c:tx>
            <c:strRef>
              <c:f>Sheet1!$E$35</c:f>
              <c:strCache>
                <c:ptCount val="1"/>
                <c:pt idx="0">
                  <c:v>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Sheet1!$A$36:$A$40</c:f>
              <c:strCache>
                <c:ptCount val="5"/>
                <c:pt idx="0">
                  <c:v>Within the last month</c:v>
                </c:pt>
                <c:pt idx="1">
                  <c:v>Within the last 6 months</c:v>
                </c:pt>
                <c:pt idx="2">
                  <c:v>Within the last 12 months</c:v>
                </c:pt>
                <c:pt idx="3">
                  <c:v>Over 1 year ago</c:v>
                </c:pt>
                <c:pt idx="4">
                  <c:v>Never</c:v>
                </c:pt>
              </c:strCache>
            </c:strRef>
          </c:cat>
          <c:val>
            <c:numRef>
              <c:f>Sheet1!$E$36:$E$40</c:f>
              <c:numCache>
                <c:formatCode>0%</c:formatCode>
                <c:ptCount val="5"/>
                <c:pt idx="0">
                  <c:v>7.3599999999999999E-2</c:v>
                </c:pt>
                <c:pt idx="1">
                  <c:v>3.0300000000000001E-2</c:v>
                </c:pt>
                <c:pt idx="2">
                  <c:v>3.9E-2</c:v>
                </c:pt>
                <c:pt idx="3">
                  <c:v>2.81E-2</c:v>
                </c:pt>
                <c:pt idx="4">
                  <c:v>2.81E-2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0C-4695-A9D4-7445A06CC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717440"/>
        <c:axId val="160747904"/>
      </c:barChart>
      <c:catAx>
        <c:axId val="16071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47904"/>
        <c:crosses val="autoZero"/>
        <c:auto val="1"/>
        <c:lblAlgn val="ctr"/>
        <c:lblOffset val="100"/>
        <c:noMultiLvlLbl val="0"/>
      </c:catAx>
      <c:valAx>
        <c:axId val="16074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1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399815371329447"/>
          <c:y val="0.34246524332617656"/>
          <c:w val="0.13550744009904692"/>
          <c:h val="0.322485845673304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00"/>
            </a:pPr>
            <a:r>
              <a:rPr lang="en-GB" sz="1000"/>
              <a:t>What would you like to see improved 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3162542522445566E-2"/>
          <c:y val="0.21419210334584055"/>
          <c:w val="0.83461748228304755"/>
          <c:h val="0.637515434464497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Sheet1!$B$15</c:f>
              <c:strCache>
                <c:ptCount val="1"/>
                <c:pt idx="0">
                  <c:v>1-4*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(Sheet1!$A$20,Sheet1!$A$22:$A$24)</c:f>
              <c:strCache>
                <c:ptCount val="4"/>
                <c:pt idx="0">
                  <c:v>career guidance/ops</c:v>
                </c:pt>
                <c:pt idx="1">
                  <c:v>flex working</c:v>
                </c:pt>
                <c:pt idx="2">
                  <c:v>staff engagement</c:v>
                </c:pt>
                <c:pt idx="3">
                  <c:v>staff benefits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Sheet1!$A$16:$A$26</c15:sqref>
                  </c15:fullRef>
                </c:ext>
              </c:extLst>
            </c:strRef>
          </c:cat>
          <c:val>
            <c:numRef>
              <c:f>(Sheet1!$B$20,Sheet1!$B$22:$B$24)</c:f>
              <c:numCache>
                <c:formatCode>0%</c:formatCode>
                <c:ptCount val="4"/>
                <c:pt idx="0">
                  <c:v>0.1</c:v>
                </c:pt>
                <c:pt idx="1">
                  <c:v>0.09</c:v>
                </c:pt>
                <c:pt idx="2">
                  <c:v>0.09</c:v>
                </c:pt>
                <c:pt idx="3">
                  <c:v>0.11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Sheet1!$B$16:$B$26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9D-4D4B-881C-A623B40BE8DD}"/>
            </c:ext>
          </c:extLst>
        </c:ser>
        <c:ser>
          <c:idx val="1"/>
          <c:order val="1"/>
          <c:tx>
            <c:strRef>
              <c:f>Sheet1!$C$15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(Sheet1!$A$20,Sheet1!$A$22:$A$24)</c:f>
              <c:strCache>
                <c:ptCount val="4"/>
                <c:pt idx="0">
                  <c:v>career guidance/ops</c:v>
                </c:pt>
                <c:pt idx="1">
                  <c:v>flex working</c:v>
                </c:pt>
                <c:pt idx="2">
                  <c:v>staff engagement</c:v>
                </c:pt>
                <c:pt idx="3">
                  <c:v>staff benefits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Sheet1!$A$16:$A$26</c15:sqref>
                  </c15:fullRef>
                </c:ext>
              </c:extLst>
            </c:strRef>
          </c:cat>
          <c:val>
            <c:numRef>
              <c:f>(Sheet1!$C$20,Sheet1!$C$22:$C$24)</c:f>
              <c:numCache>
                <c:formatCode>0%</c:formatCode>
                <c:ptCount val="4"/>
                <c:pt idx="0">
                  <c:v>0.21</c:v>
                </c:pt>
                <c:pt idx="1">
                  <c:v>0.22</c:v>
                </c:pt>
                <c:pt idx="2">
                  <c:v>0.2</c:v>
                </c:pt>
                <c:pt idx="3">
                  <c:v>0.23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Sheet1!$C$16:$C$26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9D-4D4B-881C-A623B40BE8DD}"/>
            </c:ext>
          </c:extLst>
        </c:ser>
        <c:ser>
          <c:idx val="2"/>
          <c:order val="2"/>
          <c:tx>
            <c:strRef>
              <c:f>Sheet1!$D$15</c:f>
              <c:strCache>
                <c:ptCount val="1"/>
                <c:pt idx="0">
                  <c:v>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(Sheet1!$A$20,Sheet1!$A$22:$A$24)</c:f>
              <c:strCache>
                <c:ptCount val="4"/>
                <c:pt idx="0">
                  <c:v>career guidance/ops</c:v>
                </c:pt>
                <c:pt idx="1">
                  <c:v>flex working</c:v>
                </c:pt>
                <c:pt idx="2">
                  <c:v>staff engagement</c:v>
                </c:pt>
                <c:pt idx="3">
                  <c:v>staff benefits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Sheet1!$A$16:$A$26</c15:sqref>
                  </c15:fullRef>
                </c:ext>
              </c:extLst>
            </c:strRef>
          </c:cat>
          <c:val>
            <c:numRef>
              <c:f>(Sheet1!$D$20,Sheet1!$D$22:$D$24)</c:f>
              <c:numCache>
                <c:formatCode>0%</c:formatCode>
                <c:ptCount val="4"/>
                <c:pt idx="0">
                  <c:v>0.19</c:v>
                </c:pt>
                <c:pt idx="1">
                  <c:v>0.2</c:v>
                </c:pt>
                <c:pt idx="2">
                  <c:v>0.21</c:v>
                </c:pt>
                <c:pt idx="3">
                  <c:v>0.23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Sheet1!$D$16:$D$26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9D-4D4B-881C-A623B40BE8DD}"/>
            </c:ext>
          </c:extLst>
        </c:ser>
        <c:ser>
          <c:idx val="3"/>
          <c:order val="3"/>
          <c:tx>
            <c:strRef>
              <c:f>Sheet1!$E$15</c:f>
              <c:strCache>
                <c:ptCount val="1"/>
                <c:pt idx="0">
                  <c:v>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(Sheet1!$A$20,Sheet1!$A$22:$A$24)</c:f>
              <c:strCache>
                <c:ptCount val="4"/>
                <c:pt idx="0">
                  <c:v>career guidance/ops</c:v>
                </c:pt>
                <c:pt idx="1">
                  <c:v>flex working</c:v>
                </c:pt>
                <c:pt idx="2">
                  <c:v>staff engagement</c:v>
                </c:pt>
                <c:pt idx="3">
                  <c:v>staff benefits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Sheet1!$A$16:$A$26</c15:sqref>
                  </c15:fullRef>
                </c:ext>
              </c:extLst>
            </c:strRef>
          </c:cat>
          <c:val>
            <c:numRef>
              <c:f>(Sheet1!$E$20,Sheet1!$E$22:$E$24)</c:f>
              <c:numCache>
                <c:formatCode>0%</c:formatCode>
                <c:ptCount val="4"/>
                <c:pt idx="0">
                  <c:v>0.16</c:v>
                </c:pt>
                <c:pt idx="1">
                  <c:v>0.14000000000000001</c:v>
                </c:pt>
                <c:pt idx="2">
                  <c:v>0.17</c:v>
                </c:pt>
                <c:pt idx="3">
                  <c:v>0.16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Sheet1!$E$16:$E$26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9D-4D4B-881C-A623B40BE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063936"/>
        <c:axId val="169065472"/>
      </c:barChart>
      <c:catAx>
        <c:axId val="16906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69065472"/>
        <c:crosses val="autoZero"/>
        <c:auto val="1"/>
        <c:lblAlgn val="ctr"/>
        <c:lblOffset val="100"/>
        <c:noMultiLvlLbl val="0"/>
      </c:catAx>
      <c:valAx>
        <c:axId val="16906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6906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9719297426309319"/>
          <c:y val="0.36665876942373354"/>
          <c:w val="0.10161223799193821"/>
          <c:h val="0.30767674211312901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FC41-8386-4141-8C19-15282130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Thackway Helen</dc:creator>
  <cp:lastModifiedBy>Wilson Fran</cp:lastModifiedBy>
  <cp:revision>2</cp:revision>
  <cp:lastPrinted>2019-03-08T14:27:00Z</cp:lastPrinted>
  <dcterms:created xsi:type="dcterms:W3CDTF">2020-01-13T13:35:00Z</dcterms:created>
  <dcterms:modified xsi:type="dcterms:W3CDTF">2020-01-13T13:35:00Z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-1335737643</vt:i4>
  </property>
</Properties>
</file>